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jc w:val="right"/>
      </w:pPr>
      <w:r>
        <w:rPr/>
        <w:t>ADOPTED – OCTOBER 13, 2026 AGENDA ITEM NO. 31</w:t>
      </w:r>
    </w:p>
    <w:p>
      <w:pPr>
        <w:pStyle w:val="BodyText"/>
        <w:spacing w:before="8"/>
        <w:rPr>
          <w:b/>
          <w:sz w:val="19"/>
        </w:rPr>
      </w:pPr>
    </w:p>
    <w:p>
      <w:pPr>
        <w:pStyle w:val="BodyText"/>
        <w:spacing w:before="90"/>
        <w:ind w:left="120"/>
      </w:pPr>
      <w:r>
        <w:rPr/>
        <w:t>Introduced by the Human Services and Finance Committees of the:</w:t>
      </w:r>
    </w:p>
    <w:p>
      <w:pPr>
        <w:pStyle w:val="BodyText"/>
        <w:spacing w:before="6"/>
        <w:rPr>
          <w:sz w:val="27"/>
        </w:rPr>
      </w:pPr>
    </w:p>
    <w:p>
      <w:pPr>
        <w:pStyle w:val="BodyText"/>
        <w:spacing w:before="1"/>
        <w:ind w:left="2825" w:right="2826"/>
        <w:jc w:val="center"/>
      </w:pPr>
      <w:r>
        <w:rPr/>
        <w:t>INGHAM COUNTY BOARD OF COMMISSIONERS</w:t>
      </w:r>
    </w:p>
    <w:p>
      <w:pPr>
        <w:pStyle w:val="BodyText"/>
        <w:spacing w:before="11"/>
        <w:rPr>
          <w:sz w:val="23"/>
        </w:rPr>
      </w:pPr>
    </w:p>
    <w:p>
      <w:pPr>
        <w:pStyle w:val="Heading1"/>
        <w:ind w:right="554" w:firstLine="1"/>
      </w:pPr>
      <w:r>
        <w:rPr/>
        <w:t>RESOLUTION TO AUTHORIZE AN AGREEMENT WITH CITY OF LANSING FOR THE MICHIGAN STATE HOUSING DEVELOPMENT AUTHORITY EMERGENCY SOLUTIONS GRANT SUB-AWARD</w:t>
      </w:r>
    </w:p>
    <w:p>
      <w:pPr>
        <w:pStyle w:val="BodyText"/>
        <w:rPr>
          <w:b/>
        </w:rPr>
      </w:pPr>
    </w:p>
    <w:p>
      <w:pPr>
        <w:spacing w:before="0"/>
        <w:ind w:left="2825" w:right="2825" w:firstLine="0"/>
        <w:jc w:val="center"/>
        <w:rPr>
          <w:b/>
          <w:sz w:val="24"/>
        </w:rPr>
      </w:pPr>
      <w:r>
        <w:rPr>
          <w:b/>
          <w:sz w:val="24"/>
        </w:rPr>
        <w:t>RESOLUTION #26 – 495</w:t>
      </w:r>
    </w:p>
    <w:p>
      <w:pPr>
        <w:pStyle w:val="BodyText"/>
        <w:rPr>
          <w:b/>
          <w:sz w:val="26"/>
        </w:rPr>
      </w:pPr>
    </w:p>
    <w:p>
      <w:pPr>
        <w:pStyle w:val="BodyText"/>
        <w:rPr>
          <w:b/>
          <w:sz w:val="22"/>
        </w:rPr>
      </w:pPr>
    </w:p>
    <w:p>
      <w:pPr>
        <w:pStyle w:val="BodyText"/>
        <w:ind w:left="119" w:right="648"/>
      </w:pPr>
      <w:r>
        <w:rPr/>
        <w:t>WHEREAS, Ingham County Health Department (ICHD) wishes to enter into an agreement with City of Lansing for a Michigan State Housing Development Authority Emergency Solutions (MSHDA ESG) Sub- Award Grant effective October 1, 2026 to September 30, 2027, in an amount not to exceed $56,702; and</w:t>
      </w:r>
    </w:p>
    <w:p>
      <w:pPr>
        <w:pStyle w:val="BodyText"/>
      </w:pPr>
    </w:p>
    <w:p>
      <w:pPr>
        <w:pStyle w:val="BodyText"/>
        <w:ind w:left="119" w:right="162"/>
      </w:pPr>
      <w:r>
        <w:rPr/>
        <w:t>WHEREAS, this grant will fund ICHD in the amount of $15,464 to support Street Outreach efforts to unhoused county residents, and in the amount of $41,238 to support Homelessness Prevention among county residents; and</w:t>
      </w:r>
    </w:p>
    <w:p>
      <w:pPr>
        <w:pStyle w:val="BodyText"/>
      </w:pPr>
    </w:p>
    <w:p>
      <w:pPr>
        <w:pStyle w:val="BodyText"/>
        <w:ind w:left="119" w:right="803"/>
      </w:pPr>
      <w:r>
        <w:rPr/>
        <w:t>WHERAS, all agencies selected as City of Lansing MSHDA ESG Sub-Awardees have been selected and affirmed by the Capital Region Housing Collaborative, which serves as the Continuum of Care (CoC) Organization for Ingham County; and</w:t>
      </w:r>
    </w:p>
    <w:p>
      <w:pPr>
        <w:pStyle w:val="BodyText"/>
      </w:pPr>
    </w:p>
    <w:p>
      <w:pPr>
        <w:pStyle w:val="BodyText"/>
        <w:spacing w:before="1"/>
        <w:ind w:left="119" w:right="596"/>
      </w:pPr>
      <w:r>
        <w:rPr/>
        <w:t>WHEREAS, all grantees selected and affirmed by the CoC agree to responsibilities defined in the MSHDA ESG FY26-27 Memorandum of Understanding, which includes the following:</w:t>
      </w:r>
    </w:p>
    <w:p>
      <w:pPr>
        <w:pStyle w:val="BodyText"/>
      </w:pPr>
    </w:p>
    <w:p>
      <w:pPr>
        <w:pStyle w:val="ListParagraph"/>
        <w:numPr>
          <w:ilvl w:val="0"/>
          <w:numId w:val="1"/>
        </w:numPr>
        <w:tabs>
          <w:tab w:pos="1200" w:val="left" w:leader="none"/>
          <w:tab w:pos="1201" w:val="left" w:leader="none"/>
        </w:tabs>
        <w:spacing w:line="269" w:lineRule="exact" w:before="0" w:after="0"/>
        <w:ind w:left="1200" w:right="0" w:hanging="361"/>
        <w:jc w:val="left"/>
        <w:rPr>
          <w:sz w:val="22"/>
        </w:rPr>
      </w:pPr>
      <w:r>
        <w:rPr>
          <w:sz w:val="22"/>
        </w:rPr>
        <w:t>Collaboration with the CoC, providing eligible services as defined within MSHDA ESG</w:t>
      </w:r>
      <w:r>
        <w:rPr>
          <w:spacing w:val="-18"/>
          <w:sz w:val="22"/>
        </w:rPr>
        <w:t> </w:t>
      </w:r>
      <w:r>
        <w:rPr>
          <w:sz w:val="22"/>
        </w:rPr>
        <w:t>policies</w:t>
      </w:r>
    </w:p>
    <w:p>
      <w:pPr>
        <w:pStyle w:val="ListParagraph"/>
        <w:numPr>
          <w:ilvl w:val="0"/>
          <w:numId w:val="1"/>
        </w:numPr>
        <w:tabs>
          <w:tab w:pos="1200" w:val="left" w:leader="none"/>
          <w:tab w:pos="1201" w:val="left" w:leader="none"/>
        </w:tabs>
        <w:spacing w:line="269" w:lineRule="exact" w:before="0" w:after="0"/>
        <w:ind w:left="1200" w:right="0" w:hanging="361"/>
        <w:jc w:val="left"/>
        <w:rPr>
          <w:sz w:val="22"/>
        </w:rPr>
      </w:pPr>
      <w:r>
        <w:rPr>
          <w:sz w:val="22"/>
        </w:rPr>
        <w:t>Entering client information on Homeless Management Information System</w:t>
      </w:r>
      <w:r>
        <w:rPr>
          <w:spacing w:val="-12"/>
          <w:sz w:val="22"/>
        </w:rPr>
        <w:t> </w:t>
      </w:r>
      <w:r>
        <w:rPr>
          <w:sz w:val="22"/>
        </w:rPr>
        <w:t>(HMIS)</w:t>
      </w:r>
    </w:p>
    <w:p>
      <w:pPr>
        <w:pStyle w:val="ListParagraph"/>
        <w:numPr>
          <w:ilvl w:val="0"/>
          <w:numId w:val="1"/>
        </w:numPr>
        <w:tabs>
          <w:tab w:pos="1200" w:val="left" w:leader="none"/>
          <w:tab w:pos="1201" w:val="left" w:leader="none"/>
        </w:tabs>
        <w:spacing w:line="240" w:lineRule="auto" w:before="0" w:after="0"/>
        <w:ind w:left="1200" w:right="202" w:hanging="361"/>
        <w:jc w:val="left"/>
        <w:rPr>
          <w:sz w:val="22"/>
        </w:rPr>
      </w:pPr>
      <w:r>
        <w:rPr>
          <w:sz w:val="22"/>
        </w:rPr>
        <w:t>Coordinating with the Housing Assessment and Resource Agency (HARA) to ensure the required assessment tool and/or process are completed for homeless</w:t>
      </w:r>
      <w:r>
        <w:rPr>
          <w:spacing w:val="-9"/>
          <w:sz w:val="22"/>
        </w:rPr>
        <w:t> </w:t>
      </w:r>
      <w:r>
        <w:rPr>
          <w:sz w:val="22"/>
        </w:rPr>
        <w:t>households</w:t>
      </w:r>
    </w:p>
    <w:p>
      <w:pPr>
        <w:pStyle w:val="ListParagraph"/>
        <w:numPr>
          <w:ilvl w:val="0"/>
          <w:numId w:val="1"/>
        </w:numPr>
        <w:tabs>
          <w:tab w:pos="1200" w:val="left" w:leader="none"/>
          <w:tab w:pos="1201" w:val="left" w:leader="none"/>
        </w:tabs>
        <w:spacing w:line="240" w:lineRule="auto" w:before="0" w:after="0"/>
        <w:ind w:left="1200" w:right="783" w:hanging="361"/>
        <w:jc w:val="left"/>
        <w:rPr>
          <w:sz w:val="22"/>
        </w:rPr>
      </w:pPr>
      <w:r>
        <w:rPr>
          <w:sz w:val="22"/>
        </w:rPr>
        <w:t>Routinely reviewing and correcting HMIS/comparable data quality issues and monitoring performance outcome</w:t>
      </w:r>
    </w:p>
    <w:p>
      <w:pPr>
        <w:pStyle w:val="ListParagraph"/>
        <w:numPr>
          <w:ilvl w:val="0"/>
          <w:numId w:val="1"/>
        </w:numPr>
        <w:tabs>
          <w:tab w:pos="1200" w:val="left" w:leader="none"/>
          <w:tab w:pos="1201" w:val="left" w:leader="none"/>
        </w:tabs>
        <w:spacing w:line="267" w:lineRule="exact" w:before="0" w:after="0"/>
        <w:ind w:left="1200" w:right="0" w:hanging="361"/>
        <w:jc w:val="left"/>
        <w:rPr>
          <w:sz w:val="22"/>
        </w:rPr>
      </w:pPr>
      <w:r>
        <w:rPr>
          <w:sz w:val="22"/>
        </w:rPr>
        <w:t>Maintaining financial and client-level records to support billings for five</w:t>
      </w:r>
      <w:r>
        <w:rPr>
          <w:spacing w:val="-11"/>
          <w:sz w:val="22"/>
        </w:rPr>
        <w:t> </w:t>
      </w:r>
      <w:r>
        <w:rPr>
          <w:sz w:val="22"/>
        </w:rPr>
        <w:t>years</w:t>
      </w:r>
    </w:p>
    <w:p>
      <w:pPr>
        <w:pStyle w:val="ListParagraph"/>
        <w:numPr>
          <w:ilvl w:val="0"/>
          <w:numId w:val="1"/>
        </w:numPr>
        <w:tabs>
          <w:tab w:pos="1200" w:val="left" w:leader="none"/>
          <w:tab w:pos="1201" w:val="left" w:leader="none"/>
        </w:tabs>
        <w:spacing w:line="240" w:lineRule="auto" w:before="0" w:after="0"/>
        <w:ind w:left="1200" w:right="730" w:hanging="361"/>
        <w:jc w:val="left"/>
        <w:rPr>
          <w:sz w:val="22"/>
        </w:rPr>
      </w:pPr>
      <w:r>
        <w:rPr>
          <w:sz w:val="22"/>
        </w:rPr>
        <w:t>Requesting payment and providing necessary supportive documentation to City of Lansing on at least a quarterly</w:t>
      </w:r>
      <w:r>
        <w:rPr>
          <w:spacing w:val="-3"/>
          <w:sz w:val="22"/>
        </w:rPr>
        <w:t> </w:t>
      </w:r>
      <w:r>
        <w:rPr>
          <w:sz w:val="22"/>
        </w:rPr>
        <w:t>basis</w:t>
      </w:r>
    </w:p>
    <w:p>
      <w:pPr>
        <w:pStyle w:val="ListParagraph"/>
        <w:numPr>
          <w:ilvl w:val="0"/>
          <w:numId w:val="1"/>
        </w:numPr>
        <w:tabs>
          <w:tab w:pos="1200" w:val="left" w:leader="none"/>
          <w:tab w:pos="1201" w:val="left" w:leader="none"/>
        </w:tabs>
        <w:spacing w:line="240" w:lineRule="auto" w:before="0" w:after="0"/>
        <w:ind w:left="1200" w:right="200" w:hanging="360"/>
        <w:jc w:val="left"/>
        <w:rPr>
          <w:sz w:val="22"/>
        </w:rPr>
      </w:pPr>
      <w:r>
        <w:rPr>
          <w:sz w:val="22"/>
        </w:rPr>
        <w:t>Submitting to City of Lansing quarterly and annual Consolidated Annual Performance and Evaluation Report (CAPERs) that address specific performance outcomes supported by HMIS</w:t>
      </w:r>
      <w:r>
        <w:rPr>
          <w:spacing w:val="-11"/>
          <w:sz w:val="22"/>
        </w:rPr>
        <w:t> </w:t>
      </w:r>
      <w:r>
        <w:rPr>
          <w:sz w:val="22"/>
        </w:rPr>
        <w:t>data</w:t>
      </w:r>
    </w:p>
    <w:p>
      <w:pPr>
        <w:pStyle w:val="ListParagraph"/>
        <w:numPr>
          <w:ilvl w:val="0"/>
          <w:numId w:val="1"/>
        </w:numPr>
        <w:tabs>
          <w:tab w:pos="1200" w:val="left" w:leader="none"/>
          <w:tab w:pos="1201" w:val="left" w:leader="none"/>
        </w:tabs>
        <w:spacing w:line="240" w:lineRule="auto" w:before="0" w:after="0"/>
        <w:ind w:left="1200" w:right="0" w:hanging="361"/>
        <w:jc w:val="left"/>
        <w:rPr>
          <w:sz w:val="22"/>
        </w:rPr>
      </w:pPr>
      <w:r>
        <w:rPr>
          <w:sz w:val="22"/>
        </w:rPr>
        <w:t>Providing City of Lansing and/or MSHDA access to financial and programmatic records when requested;</w:t>
      </w:r>
      <w:r>
        <w:rPr>
          <w:spacing w:val="-26"/>
          <w:sz w:val="22"/>
        </w:rPr>
        <w:t> </w:t>
      </w:r>
      <w:r>
        <w:rPr>
          <w:sz w:val="22"/>
        </w:rPr>
        <w:t>and</w:t>
      </w:r>
    </w:p>
    <w:p>
      <w:pPr>
        <w:pStyle w:val="BodyText"/>
        <w:spacing w:before="10"/>
        <w:rPr>
          <w:sz w:val="23"/>
        </w:rPr>
      </w:pPr>
    </w:p>
    <w:p>
      <w:pPr>
        <w:pStyle w:val="BodyText"/>
        <w:ind w:left="119" w:right="895"/>
      </w:pPr>
      <w:r>
        <w:rPr/>
        <w:t>WHEREAS, all recipients of the City of Lansing MSHDA-ESG Sub-Awards must also comply with the MSHDA grant agreement which will be provided to Sub-Awardees by City of Lansing; and</w:t>
      </w:r>
    </w:p>
    <w:p>
      <w:pPr>
        <w:pStyle w:val="BodyText"/>
      </w:pPr>
    </w:p>
    <w:p>
      <w:pPr>
        <w:pStyle w:val="BodyText"/>
        <w:ind w:left="119" w:right="130"/>
      </w:pPr>
      <w:r>
        <w:rPr/>
        <w:t>WHEREAS, the Medical Health Officer recommends that the Ingham County Board of Commissioners authorize entering into an agreement with the City of Lansing for a MSHDA ESG Sub-Award effective October 1, 2026 to September 30, 2027 in an amount not to exceed $56,702.</w:t>
      </w:r>
    </w:p>
    <w:p>
      <w:pPr>
        <w:spacing w:after="0"/>
        <w:sectPr>
          <w:type w:val="continuous"/>
          <w:pgSz w:w="12240" w:h="15840"/>
          <w:pgMar w:top="1360" w:bottom="280" w:left="600" w:right="600"/>
        </w:sectPr>
      </w:pPr>
    </w:p>
    <w:p>
      <w:pPr>
        <w:pStyle w:val="BodyText"/>
        <w:spacing w:before="79"/>
        <w:ind w:left="120"/>
      </w:pPr>
      <w:r>
        <w:rPr/>
        <w:t>THEREFORE BE IT RESOLVED, that the Ingham County Board of Commissioners authorizes</w:t>
      </w:r>
    </w:p>
    <w:p>
      <w:pPr>
        <w:pStyle w:val="BodyText"/>
        <w:ind w:left="120" w:right="302"/>
      </w:pPr>
      <w:r>
        <w:rPr/>
        <w:t>entering into an agreement with the City of Lansing for a MSHDA ESG Sub-Award effective October 1, 2026 to September 30, 2027 in an amount not to exceed $56,702.</w:t>
      </w:r>
    </w:p>
    <w:p>
      <w:pPr>
        <w:pStyle w:val="BodyText"/>
        <w:spacing w:before="4"/>
        <w:rPr>
          <w:sz w:val="23"/>
        </w:rPr>
      </w:pPr>
    </w:p>
    <w:p>
      <w:pPr>
        <w:pStyle w:val="BodyText"/>
        <w:ind w:left="120" w:right="101"/>
      </w:pPr>
      <w:r>
        <w:rPr/>
        <w:t>BE IT FURTHER RESOLVED, that the Controller/Administrator is authorized to make any budget adjustments consistent with this resolution.</w:t>
      </w:r>
    </w:p>
    <w:p>
      <w:pPr>
        <w:pStyle w:val="BodyText"/>
      </w:pPr>
    </w:p>
    <w:p>
      <w:pPr>
        <w:pStyle w:val="BodyText"/>
        <w:ind w:left="120" w:right="448"/>
      </w:pPr>
      <w:r>
        <w:rPr/>
        <w:t>BE IT FURTHER RESOLVED, that the Chairperson of the Board of Commissioners is hereby authorized to sign any contract documents on behalf of the county after approval as to form by the County Attorney.</w:t>
      </w:r>
    </w:p>
    <w:p>
      <w:pPr>
        <w:pStyle w:val="BodyText"/>
      </w:pPr>
    </w:p>
    <w:p>
      <w:pPr>
        <w:spacing w:before="0"/>
        <w:ind w:left="120" w:right="0" w:firstLine="0"/>
        <w:jc w:val="left"/>
        <w:rPr>
          <w:sz w:val="24"/>
        </w:rPr>
      </w:pPr>
      <w:r>
        <w:rPr>
          <w:b/>
          <w:sz w:val="24"/>
        </w:rPr>
        <w:t>HUMAN SERVICES: Yeas: </w:t>
      </w:r>
      <w:r>
        <w:rPr>
          <w:sz w:val="24"/>
        </w:rPr>
        <w:t>Cahill, Trubac, Morgan, Willis, Ruest, Schafer</w:t>
      </w:r>
    </w:p>
    <w:p>
      <w:pPr>
        <w:tabs>
          <w:tab w:pos="2231"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Tennis </w:t>
      </w:r>
      <w:r>
        <w:rPr>
          <w:b/>
          <w:sz w:val="24"/>
        </w:rPr>
        <w:t>Approved</w:t>
      </w:r>
      <w:r>
        <w:rPr>
          <w:b/>
          <w:spacing w:val="1"/>
          <w:sz w:val="24"/>
        </w:rPr>
        <w:t> </w:t>
      </w:r>
      <w:r>
        <w:rPr>
          <w:b/>
          <w:sz w:val="24"/>
        </w:rPr>
        <w:t>10/05/26</w:t>
      </w:r>
    </w:p>
    <w:p>
      <w:pPr>
        <w:pStyle w:val="BodyText"/>
        <w:rPr>
          <w:b/>
        </w:rPr>
      </w:pPr>
    </w:p>
    <w:p>
      <w:pPr>
        <w:spacing w:before="0"/>
        <w:ind w:left="119" w:right="0" w:firstLine="0"/>
        <w:jc w:val="left"/>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10/07/26</w:t>
      </w:r>
    </w:p>
    <w:sectPr>
      <w:pgSz w:w="12240" w:h="15840"/>
      <w:pgMar w:top="136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1200" w:hanging="361"/>
      </w:pPr>
      <w:rPr>
        <w:rFonts w:hint="default" w:ascii="Symbol" w:hAnsi="Symbol" w:eastAsia="Symbol" w:cs="Symbol"/>
        <w:w w:val="100"/>
        <w:sz w:val="22"/>
        <w:szCs w:val="22"/>
      </w:rPr>
    </w:lvl>
    <w:lvl w:ilvl="1">
      <w:start w:val="0"/>
      <w:numFmt w:val="bullet"/>
      <w:lvlText w:val="•"/>
      <w:lvlJc w:val="left"/>
      <w:pPr>
        <w:ind w:left="2184" w:hanging="361"/>
      </w:pPr>
      <w:rPr>
        <w:rFonts w:hint="default"/>
      </w:rPr>
    </w:lvl>
    <w:lvl w:ilvl="2">
      <w:start w:val="0"/>
      <w:numFmt w:val="bullet"/>
      <w:lvlText w:val="•"/>
      <w:lvlJc w:val="left"/>
      <w:pPr>
        <w:ind w:left="3168" w:hanging="361"/>
      </w:pPr>
      <w:rPr>
        <w:rFonts w:hint="default"/>
      </w:rPr>
    </w:lvl>
    <w:lvl w:ilvl="3">
      <w:start w:val="0"/>
      <w:numFmt w:val="bullet"/>
      <w:lvlText w:val="•"/>
      <w:lvlJc w:val="left"/>
      <w:pPr>
        <w:ind w:left="4152" w:hanging="361"/>
      </w:pPr>
      <w:rPr>
        <w:rFonts w:hint="default"/>
      </w:rPr>
    </w:lvl>
    <w:lvl w:ilvl="4">
      <w:start w:val="0"/>
      <w:numFmt w:val="bullet"/>
      <w:lvlText w:val="•"/>
      <w:lvlJc w:val="left"/>
      <w:pPr>
        <w:ind w:left="5136" w:hanging="361"/>
      </w:pPr>
      <w:rPr>
        <w:rFonts w:hint="default"/>
      </w:rPr>
    </w:lvl>
    <w:lvl w:ilvl="5">
      <w:start w:val="0"/>
      <w:numFmt w:val="bullet"/>
      <w:lvlText w:val="•"/>
      <w:lvlJc w:val="left"/>
      <w:pPr>
        <w:ind w:left="6120" w:hanging="361"/>
      </w:pPr>
      <w:rPr>
        <w:rFonts w:hint="default"/>
      </w:rPr>
    </w:lvl>
    <w:lvl w:ilvl="6">
      <w:start w:val="0"/>
      <w:numFmt w:val="bullet"/>
      <w:lvlText w:val="•"/>
      <w:lvlJc w:val="left"/>
      <w:pPr>
        <w:ind w:left="7104" w:hanging="361"/>
      </w:pPr>
      <w:rPr>
        <w:rFonts w:hint="default"/>
      </w:rPr>
    </w:lvl>
    <w:lvl w:ilvl="7">
      <w:start w:val="0"/>
      <w:numFmt w:val="bullet"/>
      <w:lvlText w:val="•"/>
      <w:lvlJc w:val="left"/>
      <w:pPr>
        <w:ind w:left="8088" w:hanging="361"/>
      </w:pPr>
      <w:rPr>
        <w:rFonts w:hint="default"/>
      </w:rPr>
    </w:lvl>
    <w:lvl w:ilvl="8">
      <w:start w:val="0"/>
      <w:numFmt w:val="bullet"/>
      <w:lvlText w:val="•"/>
      <w:lvlJc w:val="left"/>
      <w:pPr>
        <w:ind w:left="9072" w:hanging="361"/>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551" w:right="115" w:hanging="994"/>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ind w:left="1200" w:hanging="361"/>
    </w:pPr>
    <w:rPr>
      <w:rFonts w:ascii="Times New Roman" w:hAnsi="Times New Roman" w:eastAsia="Times New Roman" w:cs="Times New Roman"/>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2026-10-14T17:21:42Z</dcterms:created>
  <dcterms:modified xsi:type="dcterms:W3CDTF">2026-10-14T17:21:42Z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